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48149">
      <w:pPr>
        <w:wordWrap w:val="0"/>
        <w:ind w:firstLine="698"/>
        <w:jc w:val="right"/>
        <w:rPr>
          <w:rFonts w:hint="default" w:ascii="Times New Roman" w:hAnsi="Times New Roman" w:cs="Times New Roman"/>
          <w:sz w:val="24"/>
          <w:szCs w:val="24"/>
          <w:lang w:val="ru-RU"/>
        </w:rPr>
      </w:pPr>
      <w:bookmarkStart w:id="0" w:name="_GoBack"/>
      <w:r>
        <w:rPr>
          <w:rStyle w:val="41"/>
          <w:rFonts w:hint="default" w:ascii="Times New Roman" w:hAnsi="Times New Roman" w:cs="Times New Roman"/>
          <w:color w:val="auto"/>
          <w:sz w:val="24"/>
          <w:szCs w:val="24"/>
        </w:rPr>
        <w:t>Приложен</w:t>
      </w:r>
      <w:bookmarkEnd w:id="0"/>
      <w:r>
        <w:rPr>
          <w:rStyle w:val="41"/>
          <w:rFonts w:hint="default" w:ascii="Times New Roman" w:hAnsi="Times New Roman" w:cs="Times New Roman"/>
          <w:color w:val="auto"/>
          <w:sz w:val="24"/>
          <w:szCs w:val="24"/>
        </w:rPr>
        <w:t>ие №</w:t>
      </w:r>
      <w:r>
        <w:rPr>
          <w:rStyle w:val="41"/>
          <w:rFonts w:hint="default" w:ascii="Times New Roman" w:hAnsi="Times New Roman" w:cs="Times New Roman"/>
          <w:color w:val="auto"/>
          <w:sz w:val="24"/>
          <w:szCs w:val="24"/>
          <w:lang w:val="ru-RU"/>
        </w:rPr>
        <w:t>11</w:t>
      </w:r>
      <w:r>
        <w:rPr>
          <w:rStyle w:val="41"/>
          <w:rFonts w:hint="default" w:ascii="Times New Roman" w:hAnsi="Times New Roman" w:cs="Times New Roman"/>
          <w:color w:val="auto"/>
          <w:sz w:val="24"/>
          <w:szCs w:val="24"/>
        </w:rPr>
        <w:br w:type="textWrapping"/>
      </w:r>
      <w:r>
        <w:rPr>
          <w:rStyle w:val="41"/>
          <w:rFonts w:hint="default" w:ascii="Times New Roman" w:hAnsi="Times New Roman" w:cs="Times New Roman"/>
          <w:color w:val="auto"/>
          <w:sz w:val="24"/>
          <w:szCs w:val="24"/>
        </w:rPr>
        <w:t xml:space="preserve">к Учетной политике </w:t>
      </w:r>
      <w:r>
        <w:rPr>
          <w:rStyle w:val="41"/>
          <w:rFonts w:hint="default" w:ascii="Times New Roman" w:hAnsi="Times New Roman" w:cs="Times New Roman"/>
          <w:color w:val="auto"/>
          <w:sz w:val="24"/>
          <w:szCs w:val="24"/>
        </w:rPr>
        <w:br w:type="textWrapping"/>
      </w:r>
      <w:r>
        <w:rPr>
          <w:rStyle w:val="41"/>
          <w:rFonts w:hint="default" w:ascii="Times New Roman" w:hAnsi="Times New Roman" w:cs="Times New Roman"/>
          <w:color w:val="auto"/>
          <w:sz w:val="24"/>
          <w:szCs w:val="24"/>
          <w:lang w:val="ru-RU"/>
        </w:rPr>
        <w:t>Администрации Басакинского сельского поселения</w:t>
      </w:r>
    </w:p>
    <w:p w14:paraId="744FCCE3">
      <w:pPr>
        <w:spacing w:after="0" w:line="240" w:lineRule="auto"/>
        <w:jc w:val="right"/>
        <w:rPr>
          <w:rFonts w:ascii="Times New Roman" w:hAnsi="Times New Roman" w:eastAsia="Times New Roman" w:cs="Times New Roman"/>
          <w:kern w:val="0"/>
          <w:lang w:eastAsia="ru-RU"/>
          <w14:ligatures w14:val="none"/>
        </w:rPr>
      </w:pPr>
    </w:p>
    <w:p w14:paraId="68B5DBC1">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b/>
          <w:bCs/>
          <w:kern w:val="0"/>
          <w:lang w:eastAsia="ru-RU"/>
          <w14:ligatures w14:val="none"/>
        </w:rPr>
        <w:t>Положение об инвентаризационной комиссии</w:t>
      </w:r>
    </w:p>
    <w:p w14:paraId="23BC75D9">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 Общие положения</w:t>
      </w:r>
    </w:p>
    <w:p w14:paraId="1001CD8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1.1. Настоящее Положение разработано в соответствии с федеральным стандартом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утвержденным приказом Минфина России от 31.12.2016 № 256н, Приложением № 1 к федеральному стандарту бухгалтерского учета для организаций государственного сектора «Учетная политика, оценочные значения и ошибки», утвержденному приказом Минфина России от 30.12.2017 № 274н (далее - Общие требования к инвентаризации).</w:t>
      </w:r>
    </w:p>
    <w:p w14:paraId="3036FA7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1.2. Инвентаризационная комиссия (далее также - комиссия) создается для проведения инвентаризации имущества, имущественных прав, иных активов и обязательств учреждения.</w:t>
      </w:r>
    </w:p>
    <w:p w14:paraId="48330D6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Основными задачами инвентаризационной комиссии (рабочей инвентаризационной комиссии) при инвентаризации являются:</w:t>
      </w:r>
    </w:p>
    <w:p w14:paraId="699528E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выявление фактического наличия имущества, неучтенных объектов, недостач, порчи имущества;</w:t>
      </w:r>
    </w:p>
    <w:p w14:paraId="1A4E86D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сопоставление фактического наличия имущества с данными бухгалтерского учета;</w:t>
      </w:r>
    </w:p>
    <w:p w14:paraId="519717E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выявление признаков обесценения активов;</w:t>
      </w:r>
    </w:p>
    <w:p w14:paraId="2C7BFAA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определение целевой функции актива и статуса объекта учета;</w:t>
      </w:r>
    </w:p>
    <w:p w14:paraId="2B4C232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проверка нефинансовых активов и финансовых активов на соответствие критериям актива;</w:t>
      </w:r>
    </w:p>
    <w:p w14:paraId="22EC548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проверка полноты отражения в учете обязательств.</w:t>
      </w:r>
    </w:p>
    <w:p w14:paraId="5F73609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 ходе проведения инвентаризации активов и обязательств инвентаризационная комиссия (рабочая инвентаризационная комиссия) дополнительно определяет признаки/устанавливает:</w:t>
      </w:r>
    </w:p>
    <w:p w14:paraId="684E28E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безнадежной к взысканию задолженности;</w:t>
      </w:r>
    </w:p>
    <w:p w14:paraId="1983CC6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сомнительной задолженности неплатежеспособных дебиторов, в том числе несоответствия задолженности критериям признания ее активом;</w:t>
      </w:r>
    </w:p>
    <w:p w14:paraId="70467FB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суммы невостребованной в срок (просроченной и (или) неподтвержденной по результатам инвентаризации) кредиторской задолженности по выплатам расходов (источников финансирования дефицита бюджета, источников финансирования дефицита средств учреждения, далее также источников финансирования дефицита);</w:t>
      </w:r>
    </w:p>
    <w:p w14:paraId="5B9F3F1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суммы переплат доходов (источников финансирования дефицита);</w:t>
      </w:r>
    </w:p>
    <w:p w14:paraId="07442F7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задолженность учреждения, невостребованную кредиторами;</w:t>
      </w:r>
    </w:p>
    <w:p w14:paraId="5DDEE25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суммы дебиторской и кредиторской задолженности, подлежащие восстановлению на балансовом (забалансовом) учете в соответствии с действующим законодательством Российской Федерации;</w:t>
      </w:r>
    </w:p>
    <w:p w14:paraId="4A9D2CB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правовые основания (включая даты исполнения) возникновения расчетов.</w:t>
      </w:r>
    </w:p>
    <w:p w14:paraId="0AC8786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1.3. По способу образования инвентаризационная комиссия может:</w:t>
      </w:r>
    </w:p>
    <w:p w14:paraId="47BF51F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формироваться руководителем учреждения;</w:t>
      </w:r>
    </w:p>
    <w:p w14:paraId="11B969E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создаваться путем возложения полномочий по проведению инвентаризации на постоянно созданную комиссию по поступлению и выбытию активов.</w:t>
      </w:r>
    </w:p>
    <w:p w14:paraId="112144C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Решение о способе формирования инвентаризационных комиссий принимает руководитель учреждения.</w:t>
      </w:r>
    </w:p>
    <w:p w14:paraId="44572E3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(Основание: п. 3 Общих требований к инвентаризации)</w:t>
      </w:r>
    </w:p>
    <w:p w14:paraId="5F943A0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1.4. Полномочия по проведению инвентаризации на постоянной основе или на время проведения инвентаризации отдельных объектов инвентаризации в случае возникновения оснований для ее проведения могут быть возложены на постоянно действующую в учреждении комиссию по поступлению и выбытию активов по решению руководителя.</w:t>
      </w:r>
    </w:p>
    <w:p w14:paraId="548441F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возложении полномочий по проведению инвентаризации на постоянно действующую комиссию по поступлению и выбытию активов с распределенными полномочиями проведение инвентаризации осуществляется членами такой комиссии с учетом их распределения по направлениям деятельности комиссии, в отношении объектов инвентаризации, которые относятся к таким направлениям деятельности.</w:t>
      </w:r>
    </w:p>
    <w:p w14:paraId="70E4805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Персональный (списочный) состав инвентаризационной комиссии в таком случае определяется согласно полномочиям членов комиссии по поступлению и выбытию активов принимать решения по конкретному направлению деятельности комиссии, к которому относится объект инвентаризации, и фиксируется в решении о проведении инвентаризации.</w:t>
      </w:r>
    </w:p>
    <w:p w14:paraId="091D80D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Допускается включать в состав инвентаризационной комиссии, созданной путем возложения полномочий по проведению инвентаризации на постоянно созданную в учреждении комиссию по поступлению и выбытию активов, дополнительных членов комиссии (при необходимости) на время проведения инвентаризации отдельных объектов инвентаризации решением о проведении инвентаризации без изменения персонального (списочного) состава комиссии по поступлению и выбытию активов.</w:t>
      </w:r>
    </w:p>
    <w:p w14:paraId="4BE4D17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1.5. Персональный (списочный) состав сформированной(ых) постоянно действующей(их) инвентаризационной(ых) комиссии(й) утверждается:</w:t>
      </w:r>
    </w:p>
    <w:p w14:paraId="244554E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 при ее формировании руководителем учреждения:</w:t>
      </w:r>
    </w:p>
    <w:p w14:paraId="725E6AC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 решении о проведении инвентаризации (за исключением председателя и заместителя председателя комиссии, которые утверждаются положением о комиссии или отдельным приказом.</w:t>
      </w:r>
    </w:p>
    <w:p w14:paraId="2B334BB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2) при ее создании путем наделения полномочиями по проведению инвентаризации постоянно созданной комиссии:</w:t>
      </w:r>
    </w:p>
    <w:p w14:paraId="3B8A462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отдельным приказом.</w:t>
      </w:r>
    </w:p>
    <w:p w14:paraId="02C92C6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Объекты, инвентаризация которых входит в обязанности постоянно действующей инвентаризационной комиссии, определяются:</w:t>
      </w:r>
    </w:p>
    <w:p w14:paraId="7AB8C52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 отдельном приказе.</w:t>
      </w:r>
    </w:p>
    <w:p w14:paraId="1D6F63CD">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3, подп. »а» п. 4, подп. »а» п. 11 Общих требований к инвентаризации, письмо Минфина России от 01.12.2022 № 02-07-07/117981)</w:t>
      </w:r>
    </w:p>
    <w:p w14:paraId="55546DB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1.6. По решению руководителя на время проведения инвентаризации могут создаваться временные инвентаризационные комиссии.</w:t>
      </w:r>
    </w:p>
    <w:p w14:paraId="2302C35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Временные комиссии могут быть созданы для проведения инвентаризации:</w:t>
      </w:r>
    </w:p>
    <w:p w14:paraId="3C0C34E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большом количестве (объеме) объектов инвентаризации;</w:t>
      </w:r>
    </w:p>
    <w:p w14:paraId="3B571F8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 случае пожара, аварии, опасного природного явления, катастрофы, стихийного или иного бедствия, других чрезвычайных ситуаций;</w:t>
      </w:r>
    </w:p>
    <w:p w14:paraId="1862013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 реорганизации, ликвидации учреждения;</w:t>
      </w:r>
    </w:p>
    <w:p w14:paraId="02D5A68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 отношении имущества, за использование которого по назначению и/или его сохранность отвечает член постоянно созданной инвентаризационной комиссии;</w:t>
      </w:r>
    </w:p>
    <w:p w14:paraId="5961383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 иных случаях при невозможности обеспечить своевременное проведение инвентаризации силами постоянно действующей комиссии.</w:t>
      </w:r>
    </w:p>
    <w:p w14:paraId="01B68D4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Персональный (списочный) состав временной инвентаризационной комиссии, включая председателя и заместителя председателя комиссии, утверждается решением о проведении инвентаризации.</w:t>
      </w:r>
    </w:p>
    <w:p w14:paraId="5356612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Объекты, инвентаризация которых входит обязанности временной комиссии, определяются в решении о проведении инвентаризации.</w:t>
      </w:r>
    </w:p>
    <w:p w14:paraId="33D96A1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(Основание: подп. »а» п. 11 Общих требований к инвентаризации, письмо Минфина России от 01.12.2022 № 02-07-07/117981)</w:t>
      </w:r>
    </w:p>
    <w:p w14:paraId="36C7ADD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1.7. Предложения о необходимости создания временных инвентаризационных комиссий могут быть представлены руководителю учреждения председателем постоянно действующей инвентаризационной комиссии, если необходимо провести инвентаризацию одновременно нескольких групп объектов инвентаризации или большого объема объектов инвентаризации, входящих в одну группу, полномочия по проведению инвентаризации которой осуществляет данная постоянно действующая инвентаризационная комиссия.</w:t>
      </w:r>
    </w:p>
    <w:p w14:paraId="25645DB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При создании временных комиссий для проведения инвентаризации одновременно с постоянно действующей комиссией по объектам, входящим в одну группу, необходимо обеспечить возможность распределения конкретных объектов инвентаризации между комиссиями по существенному признаку (например, материальные ценности по местам хранения).</w:t>
      </w:r>
    </w:p>
    <w:p w14:paraId="166BAB5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1.8. При инвентаризационных комиссиях могут создаваться рабочие комиссии, если необходимо одновременно провести инвентаризацию большого объема (по номенклатуре и (или) количеству) объектов инвентаризации и осуществить значительный объем работ по определению фактического наличия объектов инвентаризации.</w:t>
      </w:r>
    </w:p>
    <w:p w14:paraId="3B99FAF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Рабочие комиссии создаются по решению руководителя учреждения (уполномоченного им лица), в том числе по предложению председателя инвентаризационной комиссии.</w:t>
      </w:r>
    </w:p>
    <w:p w14:paraId="1D3E541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Списочный состав рабочих комиссий определяется в решении о проведении инвентаризации.</w:t>
      </w:r>
    </w:p>
    <w:p w14:paraId="7B2DA9B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Ответственным лицом рабочей комиссии указывается один из членов комиссии, имеющий право голоса при вынесении решения о результатах инвентаризации. В случае отсутствия ответственного лица рабочей комиссии по уважительной или не зависящей от него причине, возникшей после начала проведения инвентаризации, полномочия ответственного лица рабочей группы возлагаются на председателя инвентаризационной комиссии (в случае отсутствия председателя комиссии - на заместителя председателя комиссии).</w:t>
      </w:r>
    </w:p>
    <w:p w14:paraId="21D4886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Рабочие комиссии последовательно нумеруются. Номер рабочей инвентаризационной комиссии имеет структуру XX, где XX - номер, принимающий значение от 01 до 99.</w:t>
      </w:r>
    </w:p>
    <w:p w14:paraId="7181B6C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Объекты, инвентаризация которых входит в обязанности конкретной рабочей комиссии, определяются в решении о проведении инвентаризации.</w:t>
      </w:r>
    </w:p>
    <w:p w14:paraId="184EB915">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пп. 8, 9 Общих требований к инвентаризации, п. 34 Приложения № 5 к Приказу № 61н, письмо Минфина России от 01.12.2022 № 02-07-07/117981)</w:t>
      </w:r>
    </w:p>
    <w:p w14:paraId="1F1F0F9B">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1.9. При большом количестве (объеме) объектов инвентаризации в учреждении создается несколько инвентаризационных комиссий, в том числе временных.</w:t>
      </w:r>
    </w:p>
    <w:p w14:paraId="05A670E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Решение о создании нескольких комиссий принимает руководитель учреждения.</w:t>
      </w:r>
    </w:p>
    <w:p w14:paraId="5D45D4E3">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3 Общих требований к инвентаризации)</w:t>
      </w:r>
    </w:p>
    <w:p w14:paraId="5B04DE2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1.10. В учреждении может быть создано несколько постоянно действующих инвентаризационных комиссий в целях проведения инвентаризации по основаниям, определенным в Порядке проведения инвентаризации (Приложение №</w:t>
      </w:r>
      <w:r>
        <w:rPr>
          <w:rFonts w:hint="default" w:ascii="Times New Roman" w:hAnsi="Times New Roman" w:eastAsia="Times New Roman" w:cs="Times New Roman"/>
          <w:kern w:val="0"/>
          <w:lang w:val="en-US" w:eastAsia="ru-RU"/>
          <w14:ligatures w14:val="none"/>
        </w:rPr>
        <w:t>8</w:t>
      </w:r>
      <w:r>
        <w:rPr>
          <w:rFonts w:ascii="Times New Roman" w:hAnsi="Times New Roman" w:eastAsia="Times New Roman" w:cs="Times New Roman"/>
          <w:kern w:val="0"/>
          <w:lang w:eastAsia="ru-RU"/>
          <w14:ligatures w14:val="none"/>
        </w:rPr>
        <w:t xml:space="preserve"> к Учетной политике), с распределением полномочий по следующим группам объектов инвентаризации:</w:t>
      </w:r>
    </w:p>
    <w:p w14:paraId="14CF122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а) нефинансовые активы (включая имущество, учитываемое на забалансовых счетах);</w:t>
      </w:r>
    </w:p>
    <w:p w14:paraId="66F75BF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б) наличные денежные средства, денежные документы и путевки неоплаченные в кассе Учреждения;</w:t>
      </w:r>
    </w:p>
    <w:p w14:paraId="3A902D1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 бланки строгой отчетности (как в части БСО, хранящихся на складах/местах хранения, не выданных ответственным лицами для использования в деятельности учреждения, так и в части БСО, выданных ответственным лицам для оформления, использования в деятельности учреждения);</w:t>
      </w:r>
    </w:p>
    <w:p w14:paraId="481E5F5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г) остатки денежных средств учреждения:</w:t>
      </w:r>
    </w:p>
    <w:p w14:paraId="503D395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на счетах, открытых в подразделениях Центрального банка Российской Федерации, кредитных организациях;</w:t>
      </w:r>
    </w:p>
    <w:p w14:paraId="57CEA90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на лицевых счетах, открытых в территориальных органах Федерального казначейства, финансовых органах субъектов Российской Федерации (муниципальных образований);</w:t>
      </w:r>
    </w:p>
    <w:p w14:paraId="2E37889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д) ценные бумаги, иные финансовые активы, а также финансовые вложения учреждения в ценные бумаги и иные финансовые активы;</w:t>
      </w:r>
    </w:p>
    <w:p w14:paraId="2380369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е) задолженность (расчеты) по предоставленным учреждением суммам заимствований (кредитам, займам, ссудам);</w:t>
      </w:r>
    </w:p>
    <w:p w14:paraId="08BC077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ж) задолженность (расчеты) по долговым обязательствам учреждения (по полученным кредитам и предоставленным гарантиям);</w:t>
      </w:r>
    </w:p>
    <w:p w14:paraId="30783A2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з) задолженность (расчеты) по доходам (поступлениям) учреждений (дебиторская и кредиторская задолженность по доходным поступлениям, источникам финансирования);</w:t>
      </w:r>
    </w:p>
    <w:p w14:paraId="0F5C9C2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и) расчеты (задолженность) с поставщиками (подрядчиками, исполнителями) и прочими дебиторами и кредиторами;</w:t>
      </w:r>
    </w:p>
    <w:p w14:paraId="6EE03D4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к) расходы будущих периодов;</w:t>
      </w:r>
    </w:p>
    <w:p w14:paraId="2B9C430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л) резервы предстоящих расходов;</w:t>
      </w:r>
    </w:p>
    <w:p w14:paraId="24C378C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м) иные объекты</w:t>
      </w:r>
      <w:r>
        <w:rPr>
          <w:rFonts w:ascii="Times New Roman" w:hAnsi="Times New Roman" w:eastAsia="Times New Roman" w:cs="Times New Roman"/>
          <w:b/>
          <w:bCs/>
          <w:kern w:val="0"/>
          <w:lang w:eastAsia="ru-RU"/>
          <w14:ligatures w14:val="none"/>
        </w:rPr>
        <w:t>].</w:t>
      </w:r>
    </w:p>
    <w:p w14:paraId="79FCFD9F">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Постоянно созданная инвентаризационная комиссия может выполнять полномочия по проведению инвентаризации как в отношении одной группы объектов инвентаризации, установленных настоящим пунктом Положения, так и нескольких групп объектов инвентаризации.</w:t>
      </w:r>
    </w:p>
    <w:p w14:paraId="3F86EA8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1.11. По решению руководителя учреждения допускается создание нескольких постоянно действующих инвентаризационных комиссий для проведения инвентаризации объектов, входящих в одну группу объектов инвентаризации. При этом необходимо обеспечить возможность распределения конкретных объектов инвентаризации между комиссиями по существенному признаку. Распределение полномочий между комиссиями закрепляется в Приложении №</w:t>
      </w:r>
      <w:r>
        <w:rPr>
          <w:rFonts w:hint="default" w:ascii="Times New Roman" w:hAnsi="Times New Roman" w:eastAsia="Times New Roman" w:cs="Times New Roman"/>
          <w:kern w:val="0"/>
          <w:lang w:val="en-US" w:eastAsia="ru-RU"/>
          <w14:ligatures w14:val="none"/>
        </w:rPr>
        <w:t>11</w:t>
      </w:r>
      <w:r>
        <w:rPr>
          <w:rFonts w:ascii="Times New Roman" w:hAnsi="Times New Roman" w:eastAsia="Times New Roman" w:cs="Times New Roman"/>
          <w:kern w:val="0"/>
          <w:lang w:eastAsia="ru-RU"/>
          <w14:ligatures w14:val="none"/>
        </w:rPr>
        <w:t> к настоящему Положению.</w:t>
      </w:r>
    </w:p>
    <w:p w14:paraId="35E0316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1.12. Постоянные и временные инвентаризационные комиссии последовательно нумеруются. Номер инвентаризационной комиссии принимает значение от 1 до 99.</w:t>
      </w:r>
    </w:p>
    <w:p w14:paraId="0DA7CB9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1.13. При наличии у учреждения территориальных структурных подразделений (находящихся в разных населенных пунктам/муниципальных образованиях), допускается создание нескольких постоянно действующих инвентаризационных комиссий для проведения инвентаризации объектов, входящих в одну группу инвентаризации «Нефинансовые активы». При этом необходимо обеспечить распределение полномочий между комиссиями по объектам инвентаризации с учетом их территориального местонахождения.]</w:t>
      </w:r>
    </w:p>
    <w:p w14:paraId="793B25DE">
      <w:pPr>
        <w:spacing w:after="0" w:line="240" w:lineRule="auto"/>
        <w:jc w:val="center"/>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2. Состав комиссии</w:t>
      </w:r>
    </w:p>
    <w:p w14:paraId="6D289BB3">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2.1. Инвентаризационная комиссия состоит не менее чем из трех человек.</w:t>
      </w:r>
    </w:p>
    <w:p w14:paraId="66F351CF">
      <w:pPr>
        <w:spacing w:after="0" w:line="240" w:lineRule="auto"/>
        <w:jc w:val="both"/>
        <w:rPr>
          <w:rFonts w:hint="default" w:ascii="Times New Roman" w:hAnsi="Times New Roman" w:eastAsia="Times New Roman" w:cs="Times New Roman"/>
          <w:kern w:val="0"/>
          <w:lang w:val="en-US" w:eastAsia="ru-RU"/>
          <w14:ligatures w14:val="none"/>
        </w:rPr>
      </w:pPr>
      <w:r>
        <w:rPr>
          <w:rFonts w:ascii="Times New Roman" w:hAnsi="Times New Roman" w:eastAsia="Times New Roman" w:cs="Times New Roman"/>
          <w:kern w:val="0"/>
          <w:lang w:eastAsia="ru-RU"/>
          <w14:ligatures w14:val="none"/>
        </w:rPr>
        <w:t>Если численность работников (сотрудников) не превышает трех человек, то в целях проведения инвентаризации по согласованию могут</w:t>
      </w:r>
      <w:r>
        <w:rPr>
          <w:rFonts w:hint="default" w:ascii="Times New Roman" w:hAnsi="Times New Roman" w:eastAsia="Times New Roman" w:cs="Times New Roman"/>
          <w:kern w:val="0"/>
          <w:lang w:val="en-US" w:eastAsia="ru-RU"/>
          <w14:ligatures w14:val="none"/>
        </w:rPr>
        <w:t xml:space="preserve"> включатся </w:t>
      </w:r>
      <w:r>
        <w:rPr>
          <w:rFonts w:ascii="Times New Roman" w:hAnsi="Times New Roman" w:eastAsia="Times New Roman" w:cs="Times New Roman"/>
          <w:kern w:val="0"/>
          <w:lang w:eastAsia="ru-RU"/>
          <w14:ligatures w14:val="none"/>
        </w:rPr>
        <w:t>представители</w:t>
      </w:r>
      <w:r>
        <w:rPr>
          <w:rFonts w:hint="default" w:ascii="Times New Roman" w:hAnsi="Times New Roman" w:eastAsia="Times New Roman" w:cs="Times New Roman"/>
          <w:kern w:val="0"/>
          <w:lang w:val="en-US" w:eastAsia="ru-RU"/>
          <w14:ligatures w14:val="none"/>
        </w:rPr>
        <w:t xml:space="preserve"> ГРБС.</w:t>
      </w:r>
    </w:p>
    <w:p w14:paraId="1F966358">
      <w:pPr>
        <w:spacing w:after="0" w:line="240" w:lineRule="auto"/>
        <w:jc w:val="both"/>
        <w:rPr>
          <w:rFonts w:ascii="Times New Roman" w:hAnsi="Times New Roman" w:eastAsia="Times New Roman" w:cs="Times New Roman"/>
          <w:i/>
          <w:iCs/>
          <w:kern w:val="0"/>
          <w:lang w:eastAsia="ru-RU"/>
          <w14:ligatures w14:val="none"/>
        </w:rPr>
      </w:pPr>
      <w:r>
        <w:rPr>
          <w:rFonts w:ascii="Times New Roman" w:hAnsi="Times New Roman" w:eastAsia="Times New Roman" w:cs="Times New Roman"/>
          <w:i/>
          <w:iCs/>
          <w:kern w:val="0"/>
          <w:lang w:eastAsia="ru-RU"/>
          <w14:ligatures w14:val="none"/>
        </w:rPr>
        <w:t>(Основание: п. 7 Общих требований к инвентаризации)</w:t>
      </w:r>
    </w:p>
    <w:p w14:paraId="676DE51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2.2. В состав инвентаризационной комиссии входят:</w:t>
      </w:r>
    </w:p>
    <w:p w14:paraId="7DFA46B8">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а) председатель комиссии;</w:t>
      </w:r>
    </w:p>
    <w:p w14:paraId="0577F6DC">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б) заместитель председателя комиссии;</w:t>
      </w:r>
    </w:p>
    <w:p w14:paraId="66460CB1">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в) иные члены комиссии.</w:t>
      </w:r>
    </w:p>
    <w:p w14:paraId="2861DA0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2.3. Комиссию возглавляет председатель, в полномочия которого входит:</w:t>
      </w:r>
    </w:p>
    <w:p w14:paraId="4CF66F2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общее руководство деятельностью комиссии;</w:t>
      </w:r>
    </w:p>
    <w:p w14:paraId="2512E38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обеспечение коллегиальности ее работы, в том числе при обсуждении спорных вопросов;</w:t>
      </w:r>
    </w:p>
    <w:p w14:paraId="60AF0935">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распределение полномочий между членами комиссии;</w:t>
      </w:r>
    </w:p>
    <w:p w14:paraId="3601105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назначение заседаний в ходе инвентаризации, в том числе новой даты заседания в пределах срока проведения инвентаризации при отсутствии кворума на заседании комиссии;</w:t>
      </w:r>
    </w:p>
    <w:p w14:paraId="61DBDA00">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принятие итогового решения в качестве определяющего голоса в случае равенства голосов остальных членов комиссии;</w:t>
      </w:r>
    </w:p>
    <w:p w14:paraId="4A47256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осуществление полномочий ответственного лица рабочей группы в случае его отсутствия по уважительной или не зависящей от него причине, возникшей после начала проведения инвентаризации;</w:t>
      </w:r>
    </w:p>
    <w:p w14:paraId="26723CA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визирование представляемых ответственным лицом до начала проведения инвентаризации первичных учетных документов, не представленных им для отражения в бухгалтерском учете и подтверждающих операции с объектами инвентаризации, если они представляются на бумажном носителе. Председатель визирует такие документы с указанием «до начала проведения инвентаризации на «__»_________ 20__ г.»;</w:t>
      </w:r>
    </w:p>
    <w:p w14:paraId="078EA067">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выбор способа (метода) проведения инвентаризации в отношении объекта инвентаризации (группы объектов инвентаризации) из возможных способов (методов), определенных в Порядке проведения инвентаризации (Приложение №</w:t>
      </w:r>
      <w:r>
        <w:rPr>
          <w:rFonts w:hint="default" w:ascii="Times New Roman" w:hAnsi="Times New Roman" w:eastAsia="Times New Roman" w:cs="Times New Roman"/>
          <w:kern w:val="0"/>
          <w:lang w:val="en-US" w:eastAsia="ru-RU"/>
          <w14:ligatures w14:val="none"/>
        </w:rPr>
        <w:t>8</w:t>
      </w:r>
      <w:r>
        <w:rPr>
          <w:rFonts w:ascii="Times New Roman" w:hAnsi="Times New Roman" w:eastAsia="Times New Roman" w:cs="Times New Roman"/>
          <w:kern w:val="0"/>
          <w:lang w:eastAsia="ru-RU"/>
          <w14:ligatures w14:val="none"/>
        </w:rPr>
        <w:t xml:space="preserve"> к Учетной политике);</w:t>
      </w:r>
    </w:p>
    <w:p w14:paraId="05AC43F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выбор конкретных упаковок в пределах установленной Порядком проведения инвентаризации доли при выборочной проверке имущества;</w:t>
      </w:r>
    </w:p>
    <w:p w14:paraId="3CB75B0E">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принятие информации о факте отсутствия члена комиссии при невозможности его участия в заседании комиссии, если отсутствует секретарь;</w:t>
      </w:r>
    </w:p>
    <w:p w14:paraId="612CEE2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взаимодействие с бухгалтерской службой, председателем комиссии по поступлению и выбытию активов, ответственными лицами, иными сотрудниками учреждения по вопросам, касающимся объектов инвентаризации (получение необходимых пояснений, документов, сведений, информации).</w:t>
      </w:r>
    </w:p>
    <w:p w14:paraId="13B8D4E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2.4. В случае временного отсутствия председателя комиссии в период проведения инвентаризации по уважительной причине (временная нетрудоспособность, отпуск, служебная командировка, иные причины) заместитель председателя комиссии осуществляет полномочия председателя комиссии, перечисленные в п. 2.3 настоящего Положения.</w:t>
      </w:r>
    </w:p>
    <w:p w14:paraId="34CCD5D2">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2.5. Полномочия секретаря комиссии</w:t>
      </w:r>
    </w:p>
    <w:p w14:paraId="3411CA1E">
      <w:pPr>
        <w:spacing w:after="0" w:line="240" w:lineRule="auto"/>
        <w:jc w:val="both"/>
        <w:rPr>
          <w:rFonts w:ascii="Times New Roman" w:hAnsi="Times New Roman" w:eastAsia="Times New Roman" w:cs="Times New Roman"/>
          <w:kern w:val="0"/>
          <w:lang w:eastAsia="ru-RU"/>
          <w14:ligatures w14:val="none"/>
        </w:rPr>
      </w:pPr>
      <w:r>
        <w:rPr>
          <w:rFonts w:hint="default" w:ascii="Times New Roman" w:hAnsi="Times New Roman" w:eastAsia="Times New Roman" w:cs="Times New Roman"/>
          <w:kern w:val="0"/>
          <w:lang w:val="en-US" w:eastAsia="ru-RU"/>
          <w14:ligatures w14:val="none"/>
        </w:rPr>
        <w:t>-</w:t>
      </w:r>
      <w:r>
        <w:rPr>
          <w:rFonts w:ascii="Times New Roman" w:hAnsi="Times New Roman" w:eastAsia="Times New Roman" w:cs="Times New Roman"/>
          <w:kern w:val="0"/>
          <w:lang w:eastAsia="ru-RU"/>
          <w14:ligatures w14:val="none"/>
        </w:rPr>
        <w:t>возлагаются по решению председателя комиссии на одного из членов комиссии с правом голоса;</w:t>
      </w:r>
    </w:p>
    <w:p w14:paraId="29839F9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К полномочиям секретаря комиссии относятся:</w:t>
      </w:r>
    </w:p>
    <w:p w14:paraId="398F2526">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оформление документов, подлежащих подписанию членами комиссии;</w:t>
      </w:r>
    </w:p>
    <w:p w14:paraId="4390F7D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принятие информации о факте отсутствия члена комиссии при невозможности его участия в заседании комиссии;</w:t>
      </w:r>
    </w:p>
    <w:p w14:paraId="2B811FE4">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доведение утвержденного решения о проведении инвентаризации до членов комиссии; лица, осуществляющего ведение бухгалтерского учета (главного бухгалтера, централизованной бухгалтерии); ответственных лиц, указанных в решении о проведении инвентаризации;</w:t>
      </w:r>
    </w:p>
    <w:p w14:paraId="13B1426D">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формирование реестра представляемых ответственным лицом до начала проведения инвентаризации первичных учетных документов, не представленных им для отражения в бухгалтерском учете и подтверждающих операции с объектами инвентаризации, если они представляются в электронном виде;</w:t>
      </w:r>
    </w:p>
    <w:p w14:paraId="124E05D9">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оповещение членов комиссии о дате проведения заседания (переносе, отмене заседания) по данному направлению деятельности комиссии;</w:t>
      </w:r>
    </w:p>
    <w:p w14:paraId="56431CCA">
      <w:pPr>
        <w:spacing w:after="0" w:line="240" w:lineRule="auto"/>
        <w:jc w:val="both"/>
        <w:rPr>
          <w:rFonts w:ascii="Times New Roman" w:hAnsi="Times New Roman" w:eastAsia="Times New Roman" w:cs="Times New Roman"/>
          <w:kern w:val="0"/>
          <w:lang w:eastAsia="ru-RU"/>
          <w14:ligatures w14:val="none"/>
        </w:rPr>
      </w:pPr>
      <w:r>
        <w:rPr>
          <w:rFonts w:ascii="Times New Roman" w:hAnsi="Times New Roman" w:eastAsia="Times New Roman" w:cs="Times New Roman"/>
          <w:kern w:val="0"/>
          <w:lang w:eastAsia="ru-RU"/>
          <w14:ligatures w14:val="none"/>
        </w:rPr>
        <w:t>- контроль за достижением кворума, необходимого для признания решения комиссии правомочным.</w:t>
      </w:r>
    </w:p>
    <w:p w14:paraId="02146D50">
      <w:pPr>
        <w:spacing w:after="0" w:line="240" w:lineRule="auto"/>
        <w:rPr>
          <w:rFonts w:ascii="Times New Roman" w:hAnsi="Times New Roman" w:cs="Times New Roman"/>
        </w:rPr>
      </w:pPr>
      <w:r>
        <w:rPr>
          <w:rFonts w:ascii="Times New Roman" w:hAnsi="Times New Roman" w:eastAsia="Times New Roman" w:cs="Times New Roman"/>
          <w:b/>
          <w:bCs/>
          <w:kern w:val="0"/>
          <w:lang w:eastAsia="ru-RU"/>
          <w14:ligatures w14:val="none"/>
        </w:rPr>
        <w:t>]</w:t>
      </w: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4C"/>
    <w:rsid w:val="00BB6B07"/>
    <w:rsid w:val="00E8264C"/>
    <w:rsid w:val="13E941D3"/>
    <w:rsid w:val="4684564F"/>
    <w:rsid w:val="5C6E520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ru-RU" w:eastAsia="en-US" w:bidi="ar-SA"/>
      <w14:ligatures w14:val="standardContextual"/>
    </w:rPr>
  </w:style>
  <w:style w:type="paragraph" w:styleId="2">
    <w:name w:val="heading 1"/>
    <w:basedOn w:val="1"/>
    <w:next w:val="1"/>
    <w:link w:val="16"/>
    <w:qFormat/>
    <w:uiPriority w:val="9"/>
    <w:pPr>
      <w:keepNext/>
      <w:keepLines/>
      <w:spacing w:before="360" w:after="80"/>
      <w:outlineLvl w:val="0"/>
    </w:pPr>
    <w:rPr>
      <w:rFonts w:asciiTheme="majorHAnsi" w:hAnsiTheme="majorHAnsi" w:eastAsiaTheme="majorEastAsia" w:cstheme="majorBidi"/>
      <w:color w:val="2F5597" w:themeColor="accent1" w:themeShade="BF"/>
      <w:sz w:val="40"/>
      <w:szCs w:val="40"/>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32"/>
      <w:szCs w:val="32"/>
    </w:rPr>
  </w:style>
  <w:style w:type="paragraph" w:styleId="4">
    <w:name w:val="heading 3"/>
    <w:basedOn w:val="1"/>
    <w:next w:val="1"/>
    <w:link w:val="18"/>
    <w:semiHidden/>
    <w:unhideWhenUsed/>
    <w:qFormat/>
    <w:uiPriority w:val="9"/>
    <w:pPr>
      <w:keepNext/>
      <w:keepLines/>
      <w:spacing w:before="160" w:after="80"/>
      <w:outlineLvl w:val="2"/>
    </w:pPr>
    <w:rPr>
      <w:rFonts w:eastAsiaTheme="majorEastAsia" w:cstheme="majorBidi"/>
      <w:color w:val="2F5597" w:themeColor="accent1" w:themeShade="BF"/>
      <w:sz w:val="28"/>
      <w:szCs w:val="28"/>
    </w:rPr>
  </w:style>
  <w:style w:type="paragraph" w:styleId="5">
    <w:name w:val="heading 4"/>
    <w:basedOn w:val="1"/>
    <w:next w:val="1"/>
    <w:link w:val="19"/>
    <w:semiHidden/>
    <w:unhideWhenUsed/>
    <w:qFormat/>
    <w:uiPriority w:val="9"/>
    <w:pPr>
      <w:keepNext/>
      <w:keepLines/>
      <w:spacing w:before="80" w:after="40"/>
      <w:outlineLvl w:val="3"/>
    </w:pPr>
    <w:rPr>
      <w:rFonts w:eastAsiaTheme="majorEastAsia" w:cstheme="majorBidi"/>
      <w:i/>
      <w:iCs/>
      <w:color w:val="2F5597" w:themeColor="accent1" w:themeShade="BF"/>
    </w:rPr>
  </w:style>
  <w:style w:type="paragraph" w:styleId="6">
    <w:name w:val="heading 5"/>
    <w:basedOn w:val="1"/>
    <w:next w:val="1"/>
    <w:link w:val="20"/>
    <w:semiHidden/>
    <w:unhideWhenUsed/>
    <w:qFormat/>
    <w:uiPriority w:val="9"/>
    <w:pPr>
      <w:keepNext/>
      <w:keepLines/>
      <w:spacing w:before="80" w:after="40"/>
      <w:outlineLvl w:val="4"/>
    </w:pPr>
    <w:rPr>
      <w:rFonts w:eastAsiaTheme="majorEastAsia" w:cstheme="majorBidi"/>
      <w:color w:val="2F5597" w:themeColor="accent1" w:themeShade="BF"/>
    </w:rPr>
  </w:style>
  <w:style w:type="paragraph" w:styleId="7">
    <w:name w:val="heading 6"/>
    <w:basedOn w:val="1"/>
    <w:next w:val="1"/>
    <w:link w:val="21"/>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2"/>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3"/>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4"/>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Hyperlink"/>
    <w:basedOn w:val="11"/>
    <w:semiHidden/>
    <w:unhideWhenUsed/>
    <w:qFormat/>
    <w:uiPriority w:val="99"/>
    <w:rPr>
      <w:color w:val="0000FF"/>
      <w:u w:val="single"/>
    </w:rPr>
  </w:style>
  <w:style w:type="paragraph" w:styleId="14">
    <w:name w:val="Title"/>
    <w:basedOn w:val="1"/>
    <w:next w:val="1"/>
    <w:link w:val="25"/>
    <w:qFormat/>
    <w:uiPriority w:val="10"/>
    <w:pPr>
      <w:spacing w:after="80" w:line="240" w:lineRule="auto"/>
      <w:contextualSpacing/>
    </w:pPr>
    <w:rPr>
      <w:rFonts w:asciiTheme="majorHAnsi" w:hAnsiTheme="majorHAnsi" w:eastAsiaTheme="majorEastAsia" w:cstheme="majorBidi"/>
      <w:spacing w:val="-10"/>
      <w:kern w:val="28"/>
      <w:sz w:val="56"/>
      <w:szCs w:val="56"/>
    </w:rPr>
  </w:style>
  <w:style w:type="paragraph" w:styleId="15">
    <w:name w:val="Subtitle"/>
    <w:basedOn w:val="1"/>
    <w:next w:val="1"/>
    <w:link w:val="26"/>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character" w:customStyle="1" w:styleId="16">
    <w:name w:val="Заголовок 1 Знак"/>
    <w:basedOn w:val="11"/>
    <w:link w:val="2"/>
    <w:qFormat/>
    <w:uiPriority w:val="9"/>
    <w:rPr>
      <w:rFonts w:asciiTheme="majorHAnsi" w:hAnsiTheme="majorHAnsi" w:eastAsiaTheme="majorEastAsia" w:cstheme="majorBidi"/>
      <w:color w:val="2F5597" w:themeColor="accent1" w:themeShade="BF"/>
      <w:sz w:val="40"/>
      <w:szCs w:val="40"/>
    </w:rPr>
  </w:style>
  <w:style w:type="character" w:customStyle="1" w:styleId="17">
    <w:name w:val="Заголовок 2 Знак"/>
    <w:basedOn w:val="11"/>
    <w:link w:val="3"/>
    <w:semiHidden/>
    <w:qFormat/>
    <w:uiPriority w:val="9"/>
    <w:rPr>
      <w:rFonts w:asciiTheme="majorHAnsi" w:hAnsiTheme="majorHAnsi" w:eastAsiaTheme="majorEastAsia" w:cstheme="majorBidi"/>
      <w:color w:val="2F5597" w:themeColor="accent1" w:themeShade="BF"/>
      <w:sz w:val="32"/>
      <w:szCs w:val="32"/>
    </w:rPr>
  </w:style>
  <w:style w:type="character" w:customStyle="1" w:styleId="18">
    <w:name w:val="Заголовок 3 Знак"/>
    <w:basedOn w:val="11"/>
    <w:link w:val="4"/>
    <w:semiHidden/>
    <w:qFormat/>
    <w:uiPriority w:val="9"/>
    <w:rPr>
      <w:rFonts w:eastAsiaTheme="majorEastAsia" w:cstheme="majorBidi"/>
      <w:color w:val="2F5597" w:themeColor="accent1" w:themeShade="BF"/>
      <w:sz w:val="28"/>
      <w:szCs w:val="28"/>
    </w:rPr>
  </w:style>
  <w:style w:type="character" w:customStyle="1" w:styleId="19">
    <w:name w:val="Заголовок 4 Знак"/>
    <w:basedOn w:val="11"/>
    <w:link w:val="5"/>
    <w:semiHidden/>
    <w:qFormat/>
    <w:uiPriority w:val="9"/>
    <w:rPr>
      <w:rFonts w:eastAsiaTheme="majorEastAsia" w:cstheme="majorBidi"/>
      <w:i/>
      <w:iCs/>
      <w:color w:val="2F5597" w:themeColor="accent1" w:themeShade="BF"/>
    </w:rPr>
  </w:style>
  <w:style w:type="character" w:customStyle="1" w:styleId="20">
    <w:name w:val="Заголовок 5 Знак"/>
    <w:basedOn w:val="11"/>
    <w:link w:val="6"/>
    <w:semiHidden/>
    <w:qFormat/>
    <w:uiPriority w:val="9"/>
    <w:rPr>
      <w:rFonts w:eastAsiaTheme="majorEastAsia" w:cstheme="majorBidi"/>
      <w:color w:val="2F5597" w:themeColor="accent1" w:themeShade="BF"/>
    </w:rPr>
  </w:style>
  <w:style w:type="character" w:customStyle="1" w:styleId="21">
    <w:name w:val="Заголовок 6 Знак"/>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2">
    <w:name w:val="Заголовок 7 Знак"/>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3">
    <w:name w:val="Заголовок 8 Знак"/>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4">
    <w:name w:val="Заголовок 9 Знак"/>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5">
    <w:name w:val="Заголовок Знак"/>
    <w:basedOn w:val="11"/>
    <w:link w:val="14"/>
    <w:qFormat/>
    <w:uiPriority w:val="10"/>
    <w:rPr>
      <w:rFonts w:asciiTheme="majorHAnsi" w:hAnsiTheme="majorHAnsi" w:eastAsiaTheme="majorEastAsia" w:cstheme="majorBidi"/>
      <w:spacing w:val="-10"/>
      <w:kern w:val="28"/>
      <w:sz w:val="56"/>
      <w:szCs w:val="56"/>
    </w:rPr>
  </w:style>
  <w:style w:type="character" w:customStyle="1" w:styleId="26">
    <w:name w:val="Подзаголовок Знак"/>
    <w:basedOn w:val="11"/>
    <w:link w:val="15"/>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Quote"/>
    <w:basedOn w:val="1"/>
    <w:next w:val="1"/>
    <w:link w:val="2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8">
    <w:name w:val="Цитата 2 Знак"/>
    <w:basedOn w:val="11"/>
    <w:link w:val="27"/>
    <w:qFormat/>
    <w:uiPriority w:val="29"/>
    <w:rPr>
      <w:i/>
      <w:iCs/>
      <w:color w:val="404040" w:themeColor="text1" w:themeTint="BF"/>
      <w14:textFill>
        <w14:solidFill>
          <w14:schemeClr w14:val="tx1">
            <w14:lumMod w14:val="75000"/>
            <w14:lumOff w14:val="25000"/>
          </w14:schemeClr>
        </w14:solidFill>
      </w14:textFill>
    </w:rPr>
  </w:style>
  <w:style w:type="paragraph" w:styleId="29">
    <w:name w:val="List Paragraph"/>
    <w:basedOn w:val="1"/>
    <w:qFormat/>
    <w:uiPriority w:val="34"/>
    <w:pPr>
      <w:ind w:left="720"/>
      <w:contextualSpacing/>
    </w:pPr>
  </w:style>
  <w:style w:type="character" w:customStyle="1" w:styleId="30">
    <w:name w:val="Intense Emphasis"/>
    <w:basedOn w:val="11"/>
    <w:qFormat/>
    <w:uiPriority w:val="21"/>
    <w:rPr>
      <w:i/>
      <w:iCs/>
      <w:color w:val="2F5597" w:themeColor="accent1" w:themeShade="BF"/>
    </w:rPr>
  </w:style>
  <w:style w:type="paragraph" w:styleId="31">
    <w:name w:val="Intense Quote"/>
    <w:basedOn w:val="1"/>
    <w:next w:val="1"/>
    <w:link w:val="32"/>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2">
    <w:name w:val="Выделенная цитата Знак"/>
    <w:basedOn w:val="11"/>
    <w:link w:val="31"/>
    <w:qFormat/>
    <w:uiPriority w:val="30"/>
    <w:rPr>
      <w:i/>
      <w:iCs/>
      <w:color w:val="2F5597" w:themeColor="accent1" w:themeShade="BF"/>
    </w:rPr>
  </w:style>
  <w:style w:type="character" w:customStyle="1" w:styleId="33">
    <w:name w:val="Intense Reference"/>
    <w:basedOn w:val="11"/>
    <w:qFormat/>
    <w:uiPriority w:val="32"/>
    <w:rPr>
      <w:b/>
      <w:bCs/>
      <w:smallCaps/>
      <w:color w:val="2F5597" w:themeColor="accent1" w:themeShade="BF"/>
      <w:spacing w:val="5"/>
    </w:rPr>
  </w:style>
  <w:style w:type="paragraph" w:customStyle="1" w:styleId="34">
    <w:name w:val="indent_1"/>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character" w:customStyle="1" w:styleId="35">
    <w:name w:val="s_10"/>
    <w:basedOn w:val="11"/>
    <w:qFormat/>
    <w:uiPriority w:val="0"/>
  </w:style>
  <w:style w:type="paragraph" w:customStyle="1" w:styleId="36">
    <w:name w:val="s_3"/>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paragraph" w:customStyle="1" w:styleId="37">
    <w:name w:val="s_1"/>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paragraph" w:customStyle="1" w:styleId="38">
    <w:name w:val="s_16"/>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paragraph" w:customStyle="1" w:styleId="39">
    <w:name w:val="empty"/>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paragraph" w:customStyle="1" w:styleId="40">
    <w:name w:val="s_91"/>
    <w:basedOn w:val="1"/>
    <w:qFormat/>
    <w:uiPriority w:val="0"/>
    <w:pPr>
      <w:spacing w:before="100" w:beforeAutospacing="1" w:after="100" w:afterAutospacing="1" w:line="240" w:lineRule="auto"/>
    </w:pPr>
    <w:rPr>
      <w:rFonts w:ascii="Times New Roman" w:hAnsi="Times New Roman" w:eastAsia="Times New Roman" w:cs="Times New Roman"/>
      <w:kern w:val="0"/>
      <w:lang w:eastAsia="ru-RU"/>
      <w14:ligatures w14:val="none"/>
    </w:rPr>
  </w:style>
  <w:style w:type="character" w:customStyle="1" w:styleId="41">
    <w:name w:val="Цветовое выделение"/>
    <w:qFormat/>
    <w:uiPriority w:val="99"/>
    <w:rPr>
      <w:b/>
      <w:bCs/>
      <w:color w:val="26282F"/>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1809</Words>
  <Characters>13915</Characters>
  <Lines>129</Lines>
  <Paragraphs>36</Paragraphs>
  <TotalTime>9</TotalTime>
  <ScaleCrop>false</ScaleCrop>
  <LinksUpToDate>false</LinksUpToDate>
  <CharactersWithSpaces>15613</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2025-12-01T09:42:00Z</dcterms:created>
  <dc:creator>Иван Морозов</dc:creator>
  <cp:lastModifiedBy>111</cp:lastModifiedBy>
  <dcterms:modified xsi:type="dcterms:W3CDTF">2026-08-24T06:19:05Z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eyJoZGlkIjoiZTliNTQzMzQ5MzA3NzFhYjg4ZTY1ZmMwZDU2NDhiYjAifQ==</vt:lpwstr>
  </property>
  <property fmtid="{D5CDD505-2E9C-101B-9397-08002B2CF9AE}" pid="3" name="KSOProductBuildVer">
    <vt:lpwstr>1049-12.1.0.28032</vt:lpwstr>
  </property>
  <property fmtid="{D5CDD505-2E9C-101B-9397-08002B2CF9AE}" pid="4" name="ICV">
    <vt:lpwstr>EE16B11C4E314C52A2ED023E9DA9A6E7_12</vt:lpwstr>
  </property>
</Properties>
</file>